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3CC6F66" w14:textId="5833AD77" w:rsidR="00394E70" w:rsidRDefault="00394E70">
      <w:pPr>
        <w:rPr>
          <w:rFonts w:ascii="Comic Sans MS" w:eastAsia="Comic Sans MS" w:hAnsi="Comic Sans MS" w:cs="Comic Sans MS"/>
          <w:sz w:val="16"/>
          <w:szCs w:val="16"/>
        </w:rPr>
      </w:pPr>
    </w:p>
    <w:p w14:paraId="51929D80" w14:textId="77777777" w:rsidR="00E242D6" w:rsidRPr="009B0141" w:rsidRDefault="00E242D6">
      <w:pPr>
        <w:rPr>
          <w:rFonts w:ascii="Comic Sans MS" w:eastAsia="Comic Sans MS" w:hAnsi="Comic Sans MS" w:cs="Comic Sans MS"/>
          <w:sz w:val="16"/>
          <w:szCs w:val="16"/>
        </w:rPr>
      </w:pPr>
    </w:p>
    <w:p w14:paraId="7ECDD99F" w14:textId="6EA0907F" w:rsidR="00394E70" w:rsidRPr="009B0141" w:rsidRDefault="00D17C6E">
      <w:pPr>
        <w:rPr>
          <w:rFonts w:ascii="Comic Sans MS" w:eastAsia="Comic Sans MS" w:hAnsi="Comic Sans MS" w:cs="Comic Sans MS"/>
          <w:sz w:val="16"/>
          <w:szCs w:val="16"/>
        </w:rPr>
      </w:pPr>
      <w:r w:rsidRPr="009B0141">
        <w:rPr>
          <w:rFonts w:ascii="Comic Sans MS" w:eastAsia="Comic Sans MS" w:hAnsi="Comic Sans MS" w:cs="Comic Sans MS"/>
          <w:b/>
          <w:color w:val="00000A"/>
          <w:sz w:val="16"/>
          <w:szCs w:val="16"/>
          <w:u w:val="single"/>
        </w:rPr>
        <w:t>Question  : Compresseur et gonflage (5 points)</w:t>
      </w:r>
    </w:p>
    <w:p w14:paraId="3A22A42B" w14:textId="77777777" w:rsidR="00394E70" w:rsidRPr="009B0141" w:rsidRDefault="00394E70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70C0"/>
          <w:sz w:val="16"/>
          <w:szCs w:val="16"/>
        </w:rPr>
      </w:pPr>
    </w:p>
    <w:p w14:paraId="5E00E5C1" w14:textId="77777777" w:rsidR="00394E70" w:rsidRPr="009B0141" w:rsidRDefault="00D17C6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A"/>
          <w:sz w:val="16"/>
          <w:szCs w:val="16"/>
        </w:rPr>
      </w:pPr>
      <w:r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>En vous appuyant sur vos connaissances des lois physiques, expliquez pourquoi on utilise rarement des tampons avec une pression de service supérieure à 300 bar</w:t>
      </w:r>
      <w:r w:rsidR="007C2972"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>s</w:t>
      </w:r>
      <w:r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>. (1 point)</w:t>
      </w:r>
    </w:p>
    <w:p w14:paraId="637AF8AC" w14:textId="77777777" w:rsidR="00394E70" w:rsidRPr="009B0141" w:rsidRDefault="00D17C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567" w:hanging="152"/>
        <w:rPr>
          <w:i/>
          <w:color w:val="000000"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La loi des gaz parfaits (loi de Mariotte à température constante) est un modèle qui reste valable tant que la pression et la température restent autour des conditions de température et de pression du niveau de la mer. Au-delà apparaît une non-linéarité qui commence à être notable à partir de 180 b. Elle est de l’ordre 10 % pour l’air à 300 bar et qui augmente avec la pression au-delà (comportement de gaz réel, par exemple traduit par l’équation de </w:t>
      </w:r>
      <w:r w:rsidRPr="009B0141">
        <w:rPr>
          <w:rFonts w:ascii="Comic Sans MS" w:eastAsia="Comic Sans MS" w:hAnsi="Comic Sans MS" w:cs="Comic Sans MS"/>
          <w:color w:val="0000FF"/>
          <w:sz w:val="16"/>
          <w:szCs w:val="16"/>
        </w:rPr>
        <w:t>Van der Waals).</w:t>
      </w:r>
    </w:p>
    <w:p w14:paraId="7FA2DD56" w14:textId="77777777" w:rsidR="00394E70" w:rsidRPr="009B0141" w:rsidRDefault="00D17C6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567" w:hanging="152"/>
        <w:rPr>
          <w:i/>
          <w:color w:val="000000"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Un tampon délivrera donc moins d’air que prévu par la loi des gaz parfaits lors de son passage de 300 bar à 200 bar, que lors de son passage de 200 bar à 100 bar. Dépasser la pression des tampons de 200 bars permet de stocker de l’air en plus, mais pas autant que l’on pourrait le croire</w:t>
      </w:r>
      <w:r w:rsidRPr="009B0141">
        <w:rPr>
          <w:rFonts w:ascii="Comic Sans MS" w:eastAsia="Comic Sans MS" w:hAnsi="Comic Sans MS" w:cs="Comic Sans MS"/>
          <w:b/>
          <w:i/>
          <w:color w:val="0000FF"/>
          <w:sz w:val="16"/>
          <w:szCs w:val="16"/>
        </w:rPr>
        <w:t>.</w:t>
      </w:r>
    </w:p>
    <w:p w14:paraId="261219F0" w14:textId="77777777" w:rsidR="00394E70" w:rsidRPr="009B0141" w:rsidRDefault="00394E70">
      <w:pPr>
        <w:rPr>
          <w:rFonts w:ascii="Comic Sans MS" w:eastAsia="Comic Sans MS" w:hAnsi="Comic Sans MS" w:cs="Comic Sans MS"/>
          <w:color w:val="0070C0"/>
          <w:sz w:val="16"/>
          <w:szCs w:val="16"/>
        </w:rPr>
      </w:pPr>
    </w:p>
    <w:p w14:paraId="1F79E308" w14:textId="77777777" w:rsidR="00394E70" w:rsidRPr="009B0141" w:rsidRDefault="00D17C6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A"/>
          <w:sz w:val="16"/>
          <w:szCs w:val="16"/>
        </w:rPr>
      </w:pPr>
      <w:r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>Vous souhaitez gonfler un</w:t>
      </w:r>
      <w:r w:rsidR="00FF1CE9"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 xml:space="preserve"> bloc</w:t>
      </w:r>
      <w:r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 xml:space="preserve"> (5,7l.), initialement « vide » d’air, avec un nitrox 75 % à 200 bar</w:t>
      </w:r>
      <w:r w:rsidR="00AB3D28"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>s</w:t>
      </w:r>
      <w:r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>.</w:t>
      </w:r>
    </w:p>
    <w:p w14:paraId="22077164" w14:textId="77777777" w:rsidR="00394E70" w:rsidRPr="009B0141" w:rsidRDefault="00FF1CE9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Comic Sans MS" w:eastAsia="Comic Sans MS" w:hAnsi="Comic Sans MS" w:cs="Comic Sans MS"/>
          <w:color w:val="00000A"/>
          <w:sz w:val="16"/>
          <w:szCs w:val="16"/>
        </w:rPr>
      </w:pPr>
      <w:r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>Vous avez à disposition une</w:t>
      </w:r>
      <w:r w:rsidR="00D17C6E"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 xml:space="preserve"> B50 d’oxygène pur à 200 bar, une lyre de transfert et un compresseur (on considère l’air composé de : 20 % O2 et 80% N2). Quelles précautions </w:t>
      </w:r>
      <w:proofErr w:type="spellStart"/>
      <w:r w:rsidR="00D17C6E"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>prenez-vous</w:t>
      </w:r>
      <w:proofErr w:type="spellEnd"/>
      <w:r w:rsidR="00D17C6E"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 xml:space="preserve"> ? (1 point) </w:t>
      </w:r>
    </w:p>
    <w:p w14:paraId="1295C7BF" w14:textId="77777777" w:rsidR="00394E70" w:rsidRPr="009B0141" w:rsidRDefault="00D17C6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rPr>
          <w:i/>
          <w:color w:val="0000FF"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La manipulation d’oxygène pur est délicate à cause du risque de combustion. Pour limiter ce risque on prend les précautions suivantes :</w:t>
      </w:r>
    </w:p>
    <w:p w14:paraId="171CA9A1" w14:textId="77777777" w:rsidR="00394E70" w:rsidRPr="009B0141" w:rsidRDefault="00D17C6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709" w:hanging="152"/>
        <w:rPr>
          <w:i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Les matériels doivent être propres et exempts de toute trace de graisse ou d’huile.</w:t>
      </w:r>
      <w:r w:rsidRPr="009B0141">
        <w:rPr>
          <w:rFonts w:ascii="Comic Sans MS" w:eastAsia="Comic Sans MS" w:hAnsi="Comic Sans MS" w:cs="Comic Sans MS"/>
          <w:b/>
          <w:i/>
          <w:color w:val="0000FF"/>
          <w:sz w:val="16"/>
          <w:szCs w:val="16"/>
        </w:rPr>
        <w:t xml:space="preserve"> (0,5 point). </w:t>
      </w: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En pratique, on utilise : Bouteille compatible oxygène (obligatoire avec la méthode des pressions partielles car transfert d’oxygène pur) c’est-à-dire dégraissée, et une lyre de transvasement compatible oxygène.</w:t>
      </w:r>
    </w:p>
    <w:p w14:paraId="41A444A7" w14:textId="77777777" w:rsidR="00394E70" w:rsidRPr="009B0141" w:rsidRDefault="00D17C6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709" w:hanging="152"/>
        <w:rPr>
          <w:i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Il faut éviter l’échauffement en créant un faible débit de transvasement </w:t>
      </w:r>
      <w:r w:rsidRPr="009B0141">
        <w:rPr>
          <w:rFonts w:ascii="Comic Sans MS" w:eastAsia="Comic Sans MS" w:hAnsi="Comic Sans MS" w:cs="Comic Sans MS"/>
          <w:b/>
          <w:i/>
          <w:color w:val="0000FF"/>
          <w:sz w:val="16"/>
          <w:szCs w:val="16"/>
        </w:rPr>
        <w:t>(0,5 point).</w:t>
      </w: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 En pratique, on utilise une lyre (</w:t>
      </w:r>
      <w:proofErr w:type="spellStart"/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oxyclean</w:t>
      </w:r>
      <w:proofErr w:type="spellEnd"/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) avec vanne de laminage et on assure un débit lent (5 à 10 bar/min).</w:t>
      </w:r>
    </w:p>
    <w:p w14:paraId="55EA993A" w14:textId="77777777" w:rsidR="00394E70" w:rsidRPr="009B0141" w:rsidRDefault="00394E70">
      <w:pPr>
        <w:rPr>
          <w:rFonts w:ascii="Comic Sans MS" w:eastAsia="Comic Sans MS" w:hAnsi="Comic Sans MS" w:cs="Comic Sans MS"/>
          <w:i/>
          <w:color w:val="0000FF"/>
          <w:sz w:val="16"/>
          <w:szCs w:val="16"/>
        </w:rPr>
      </w:pPr>
    </w:p>
    <w:p w14:paraId="240528C1" w14:textId="77777777" w:rsidR="00394E70" w:rsidRPr="009B0141" w:rsidRDefault="00D17C6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rPr>
          <w:i/>
          <w:color w:val="0000FF"/>
          <w:sz w:val="16"/>
          <w:szCs w:val="16"/>
        </w:rPr>
      </w:pPr>
      <w:r w:rsidRPr="009B0141">
        <w:rPr>
          <w:rFonts w:ascii="Comic Sans MS" w:eastAsia="Comic Sans MS" w:hAnsi="Comic Sans MS" w:cs="Comic Sans MS"/>
          <w:b/>
          <w:i/>
          <w:color w:val="0000FF"/>
          <w:sz w:val="16"/>
          <w:szCs w:val="16"/>
        </w:rPr>
        <w:t>Remarque hors correction</w:t>
      </w: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 : Attention à « l’effet mémoire ».</w:t>
      </w:r>
    </w:p>
    <w:p w14:paraId="74F9300E" w14:textId="77777777" w:rsidR="00394E70" w:rsidRPr="009B0141" w:rsidRDefault="00D17C6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709" w:hanging="152"/>
        <w:rPr>
          <w:i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Les blocs oxygènes (du groupe 1) doivent toujours être utilisé en service oxygène (ou </w:t>
      </w:r>
      <w:proofErr w:type="spellStart"/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oxyclean</w:t>
      </w:r>
      <w:proofErr w:type="spellEnd"/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 ou propreté oxygène), même s’ils sont gonflés à l’air.</w:t>
      </w:r>
    </w:p>
    <w:p w14:paraId="16B56EEB" w14:textId="77777777" w:rsidR="00394E70" w:rsidRPr="009B0141" w:rsidRDefault="00D17C6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709" w:hanging="152"/>
        <w:rPr>
          <w:i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En effet un compresseur sans sur filtre produit de l’air avec une présence maximale de 0,5mg d’huile/m³ d’air (norme NF EN 12021). Les gonflages successifs produisent à la longue une accumulation de corps gras qui se déposent dans la bouteille ou sa robinetterie et peut s’enflammer spontanément en présence d’O2.</w:t>
      </w:r>
    </w:p>
    <w:p w14:paraId="496CDB27" w14:textId="77777777" w:rsidR="00394E70" w:rsidRPr="009B0141" w:rsidRDefault="00D17C6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709" w:hanging="152"/>
        <w:rPr>
          <w:i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D’où l’intérêt d’utiliser un sur-filtre (filtre supplémentaire qui purifie l’air des traces d’huile) et d’inspecter régulièrement les blocs en service oxygène.</w:t>
      </w:r>
    </w:p>
    <w:p w14:paraId="70204054" w14:textId="77777777" w:rsidR="00394E70" w:rsidRPr="009B0141" w:rsidRDefault="00394E70">
      <w:pPr>
        <w:rPr>
          <w:rFonts w:ascii="Comic Sans MS" w:eastAsia="Comic Sans MS" w:hAnsi="Comic Sans MS" w:cs="Comic Sans MS"/>
          <w:color w:val="0070C0"/>
          <w:sz w:val="16"/>
          <w:szCs w:val="16"/>
        </w:rPr>
      </w:pPr>
    </w:p>
    <w:p w14:paraId="2050DC91" w14:textId="77777777" w:rsidR="00394E70" w:rsidRPr="009B0141" w:rsidRDefault="00D17C6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 w:hanging="284"/>
        <w:rPr>
          <w:rFonts w:ascii="Comic Sans MS" w:eastAsia="Comic Sans MS" w:hAnsi="Comic Sans MS" w:cs="Comic Sans MS"/>
          <w:color w:val="00000A"/>
          <w:sz w:val="16"/>
          <w:szCs w:val="16"/>
        </w:rPr>
      </w:pPr>
      <w:r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>Comment réalisez-vous ce gonflage ? (2 points)</w:t>
      </w:r>
    </w:p>
    <w:p w14:paraId="592A5880" w14:textId="77777777" w:rsidR="00394E70" w:rsidRPr="009B0141" w:rsidRDefault="00D17C6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rPr>
          <w:i/>
          <w:color w:val="000000"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Pour connaître la quantité d’O2 à prendre de la B50 ; je dois raisonner avec le N2, car lui seul provient du compresseur :</w:t>
      </w:r>
    </w:p>
    <w:p w14:paraId="48921EAF" w14:textId="77777777" w:rsidR="00394E70" w:rsidRPr="009B0141" w:rsidRDefault="00394E70">
      <w:pPr>
        <w:ind w:left="426"/>
        <w:rPr>
          <w:rFonts w:ascii="Comic Sans MS" w:eastAsia="Comic Sans MS" w:hAnsi="Comic Sans MS" w:cs="Comic Sans MS"/>
          <w:i/>
          <w:color w:val="0000FF"/>
          <w:sz w:val="16"/>
          <w:szCs w:val="16"/>
        </w:rPr>
      </w:pPr>
    </w:p>
    <w:tbl>
      <w:tblPr>
        <w:tblStyle w:val="a"/>
        <w:tblW w:w="7655" w:type="dxa"/>
        <w:tblInd w:w="56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1"/>
        <w:gridCol w:w="1559"/>
        <w:gridCol w:w="2551"/>
        <w:gridCol w:w="1985"/>
      </w:tblGrid>
      <w:tr w:rsidR="00394E70" w:rsidRPr="009B0141" w14:paraId="1B62BF60" w14:textId="77777777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28B006E7" w14:textId="77777777" w:rsidR="00394E70" w:rsidRPr="009B0141" w:rsidRDefault="00394E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 w:right="-70"/>
              <w:jc w:val="center"/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040591E8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initial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64BB176B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Apport B50 oxy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787E4F2A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Apport compresseur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20B002A9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Final</w:t>
            </w:r>
          </w:p>
        </w:tc>
      </w:tr>
      <w:tr w:rsidR="00394E70" w:rsidRPr="009B0141" w14:paraId="5F690AEF" w14:textId="77777777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36547F45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 w:right="-70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N2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62A35926" w14:textId="77777777" w:rsidR="00394E70" w:rsidRPr="009B0141" w:rsidRDefault="00944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2F9FF3E7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265CAA61" w14:textId="77777777" w:rsidR="00394E70" w:rsidRPr="009B0141" w:rsidRDefault="00944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50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4C010D53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50</w:t>
            </w:r>
          </w:p>
        </w:tc>
      </w:tr>
      <w:tr w:rsidR="00394E70" w:rsidRPr="009B0141" w14:paraId="453DD1FB" w14:textId="77777777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5BD54E3C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 w:right="-70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O2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212744B7" w14:textId="77777777" w:rsidR="00394E70" w:rsidRPr="009B0141" w:rsidRDefault="00944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7A83F00D" w14:textId="77777777" w:rsidR="00394E70" w:rsidRPr="009B0141" w:rsidRDefault="00944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137.5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329D1F2E" w14:textId="77777777" w:rsidR="00394E70" w:rsidRPr="009B0141" w:rsidRDefault="00944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12,5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50C1F64F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150</w:t>
            </w:r>
          </w:p>
          <w:p w14:paraId="3C13234B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(N75 à 200 bar)</w:t>
            </w:r>
          </w:p>
        </w:tc>
      </w:tr>
      <w:tr w:rsidR="00394E70" w:rsidRPr="009B0141" w14:paraId="3185CA85" w14:textId="77777777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6FAD6CF0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 w:right="-70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6B391C76" w14:textId="77777777" w:rsidR="00394E70" w:rsidRPr="009B0141" w:rsidRDefault="00944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0905BCA7" w14:textId="77777777" w:rsidR="00394E70" w:rsidRPr="009B0141" w:rsidRDefault="00944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137.5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3C2307CB" w14:textId="77777777" w:rsidR="00394E70" w:rsidRPr="009B0141" w:rsidRDefault="00944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62.5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26EEC845" w14:textId="77777777" w:rsidR="00394E70" w:rsidRPr="009B0141" w:rsidRDefault="00D1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-144"/>
              <w:jc w:val="center"/>
              <w:rPr>
                <w:rFonts w:ascii="Comic Sans MS" w:eastAsia="Comic Sans MS" w:hAnsi="Comic Sans MS" w:cs="Comic Sans MS"/>
                <w:i/>
                <w:color w:val="000000"/>
                <w:sz w:val="16"/>
                <w:szCs w:val="16"/>
              </w:rPr>
            </w:pPr>
            <w:r w:rsidRPr="009B0141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200</w:t>
            </w:r>
          </w:p>
        </w:tc>
      </w:tr>
    </w:tbl>
    <w:p w14:paraId="74B726C8" w14:textId="77777777" w:rsidR="00394E70" w:rsidRPr="009B0141" w:rsidRDefault="00394E70">
      <w:pPr>
        <w:ind w:left="567" w:hanging="141"/>
        <w:rPr>
          <w:rFonts w:ascii="Comic Sans MS" w:eastAsia="Comic Sans MS" w:hAnsi="Comic Sans MS" w:cs="Comic Sans MS"/>
          <w:i/>
          <w:color w:val="0000FF"/>
          <w:sz w:val="16"/>
          <w:szCs w:val="16"/>
        </w:rPr>
      </w:pPr>
    </w:p>
    <w:p w14:paraId="3157B806" w14:textId="77777777" w:rsidR="00394E70" w:rsidRPr="009B0141" w:rsidRDefault="00D17C6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rPr>
          <w:i/>
          <w:color w:val="000000"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49,2 bar de N2 par le</w:t>
      </w:r>
      <w:r w:rsidR="00944AAC"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 compresseur à 80 % apporte 12,5 bar d’O2 (=50</w:t>
      </w: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 × 0,20 /0,80).</w:t>
      </w:r>
    </w:p>
    <w:p w14:paraId="0D3B9147" w14:textId="77777777" w:rsidR="00394E70" w:rsidRPr="009B0141" w:rsidRDefault="00D17C6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rPr>
          <w:i/>
          <w:color w:val="000000"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Il faut donc appo</w:t>
      </w:r>
      <w:r w:rsidR="00944AAC"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rter 137,5 bar d’O2 (=150 – 12,5</w:t>
      </w: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) avec le transvasement de la B50.</w:t>
      </w:r>
    </w:p>
    <w:p w14:paraId="41411521" w14:textId="77777777" w:rsidR="00394E70" w:rsidRPr="009B0141" w:rsidRDefault="00944AA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rPr>
          <w:i/>
          <w:color w:val="000000"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Donc on remplit le bloc de déco</w:t>
      </w:r>
      <w:r w:rsidR="00D17C6E"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 </w:t>
      </w: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(</w:t>
      </w:r>
      <w:r w:rsidR="00D17C6E"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S40</w:t>
      </w: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)</w:t>
      </w:r>
      <w:r w:rsidR="00D17C6E"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 jusqu’à 137,5 bar d’O2. </w:t>
      </w:r>
      <w:r w:rsidR="00D17C6E" w:rsidRPr="009B0141">
        <w:rPr>
          <w:rFonts w:ascii="Comic Sans MS" w:eastAsia="Comic Sans MS" w:hAnsi="Comic Sans MS" w:cs="Comic Sans MS"/>
          <w:b/>
          <w:i/>
          <w:color w:val="0000FF"/>
          <w:sz w:val="16"/>
          <w:szCs w:val="16"/>
        </w:rPr>
        <w:t>(1 point)</w:t>
      </w:r>
    </w:p>
    <w:p w14:paraId="78D45FA3" w14:textId="77777777" w:rsidR="00394E70" w:rsidRPr="009B0141" w:rsidRDefault="00D17C6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rPr>
          <w:i/>
          <w:color w:val="000000"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On complète ensuite avec de l’air (</w:t>
      </w:r>
      <w:proofErr w:type="spellStart"/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surfil</w:t>
      </w:r>
      <w:r w:rsidR="00944AAC"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tré</w:t>
      </w:r>
      <w:proofErr w:type="spellEnd"/>
      <w:r w:rsidR="00944AAC"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) à l’aide du compresseur (62</w:t>
      </w: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,5 bar). </w:t>
      </w:r>
      <w:r w:rsidRPr="009B0141">
        <w:rPr>
          <w:rFonts w:ascii="Comic Sans MS" w:eastAsia="Comic Sans MS" w:hAnsi="Comic Sans MS" w:cs="Comic Sans MS"/>
          <w:b/>
          <w:i/>
          <w:color w:val="0000FF"/>
          <w:sz w:val="16"/>
          <w:szCs w:val="16"/>
        </w:rPr>
        <w:t>(1 point)</w:t>
      </w:r>
    </w:p>
    <w:p w14:paraId="0665E974" w14:textId="77777777" w:rsidR="00394E70" w:rsidRPr="009B0141" w:rsidRDefault="00394E70">
      <w:pPr>
        <w:rPr>
          <w:rFonts w:ascii="Comic Sans MS" w:eastAsia="Comic Sans MS" w:hAnsi="Comic Sans MS" w:cs="Comic Sans MS"/>
          <w:color w:val="0070C0"/>
          <w:sz w:val="16"/>
          <w:szCs w:val="16"/>
        </w:rPr>
      </w:pPr>
    </w:p>
    <w:p w14:paraId="0EB9B6B9" w14:textId="77777777" w:rsidR="00394E70" w:rsidRPr="009B0141" w:rsidRDefault="00D17C6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rPr>
          <w:rFonts w:ascii="Comic Sans MS" w:eastAsia="Comic Sans MS" w:hAnsi="Comic Sans MS" w:cs="Comic Sans MS"/>
          <w:color w:val="00000A"/>
          <w:sz w:val="16"/>
          <w:szCs w:val="16"/>
        </w:rPr>
      </w:pPr>
      <w:r w:rsidRPr="009B0141">
        <w:rPr>
          <w:rFonts w:ascii="Comic Sans MS" w:eastAsia="Comic Sans MS" w:hAnsi="Comic Sans MS" w:cs="Comic Sans MS"/>
          <w:color w:val="00000A"/>
          <w:sz w:val="16"/>
          <w:szCs w:val="16"/>
        </w:rPr>
        <w:t>Quelle sera la pression lue au manomètre de la B50 après la manipulation ? (1 point)</w:t>
      </w:r>
    </w:p>
    <w:p w14:paraId="05A397CD" w14:textId="77777777" w:rsidR="00394E70" w:rsidRPr="009B0141" w:rsidRDefault="00D17C6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rPr>
          <w:i/>
          <w:color w:val="000000"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Il faut prélever dans la B50 : 137,5 × 5,7 = 783,75 L</w:t>
      </w:r>
    </w:p>
    <w:p w14:paraId="7003369D" w14:textId="77777777" w:rsidR="00394E70" w:rsidRPr="009B0141" w:rsidRDefault="00D17C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141"/>
        <w:rPr>
          <w:i/>
          <w:color w:val="000000"/>
          <w:sz w:val="16"/>
          <w:szCs w:val="16"/>
        </w:rPr>
      </w:pPr>
      <w:r w:rsidRPr="009B0141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La pression finale dans la B50 sera de 184,325 bar (= 200 – (783,75/50))</w:t>
      </w:r>
      <w:r w:rsidRPr="009B0141">
        <w:rPr>
          <w:rFonts w:ascii="Comic Sans MS" w:eastAsia="Comic Sans MS" w:hAnsi="Comic Sans MS" w:cs="Comic Sans MS"/>
          <w:i/>
          <w:color w:val="000000"/>
          <w:sz w:val="16"/>
          <w:szCs w:val="16"/>
        </w:rPr>
        <w:t>.</w:t>
      </w:r>
    </w:p>
    <w:sectPr w:rsidR="00394E70" w:rsidRPr="009B01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908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56DCD" w14:textId="77777777" w:rsidR="00D102D5" w:rsidRDefault="00D102D5">
      <w:r>
        <w:separator/>
      </w:r>
    </w:p>
  </w:endnote>
  <w:endnote w:type="continuationSeparator" w:id="0">
    <w:p w14:paraId="55AA6DCA" w14:textId="77777777" w:rsidR="00D102D5" w:rsidRDefault="00D10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altName w:val="Arial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0C69" w14:textId="77777777" w:rsidR="00394E70" w:rsidRDefault="00394E7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44DAD" w14:textId="77777777" w:rsidR="00394E70" w:rsidRDefault="00D17C6E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hidden="0" allowOverlap="1" wp14:anchorId="5058BDF9" wp14:editId="777CCAFA">
              <wp:simplePos x="0" y="0"/>
              <wp:positionH relativeFrom="column">
                <wp:posOffset>3378200</wp:posOffset>
              </wp:positionH>
              <wp:positionV relativeFrom="paragraph">
                <wp:posOffset>0</wp:posOffset>
              </wp:positionV>
              <wp:extent cx="64770" cy="124460"/>
              <wp:effectExtent l="0" t="0" r="0" b="0"/>
              <wp:wrapSquare wrapText="bothSides" distT="0" distB="0" distL="0" distR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18640" y="3722760"/>
                        <a:ext cx="54720" cy="114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40D572" w14:textId="77777777" w:rsidR="00394E70" w:rsidRDefault="00D17C6E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PAGE6</w:t>
                          </w:r>
                        </w:p>
                      </w:txbxContent>
                    </wps:txbx>
                    <wps:bodyPr spcFirstLastPara="1" wrap="square" lIns="3225" tIns="3225" rIns="3225" bIns="3225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3378200</wp:posOffset>
              </wp:positionH>
              <wp:positionV relativeFrom="paragraph">
                <wp:posOffset>0</wp:posOffset>
              </wp:positionV>
              <wp:extent cx="64770" cy="124460"/>
              <wp:effectExtent b="0" l="0" r="0" t="0"/>
              <wp:wrapSquare wrapText="bothSides" distB="0" distT="0" distL="0" distR="0"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70" cy="1244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B3ABE" w14:textId="77777777" w:rsidR="00394E70" w:rsidRDefault="00394E7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0BE4" w14:textId="77777777" w:rsidR="00D102D5" w:rsidRDefault="00D102D5">
      <w:r>
        <w:separator/>
      </w:r>
    </w:p>
  </w:footnote>
  <w:footnote w:type="continuationSeparator" w:id="0">
    <w:p w14:paraId="136AEFB1" w14:textId="77777777" w:rsidR="00D102D5" w:rsidRDefault="00D10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9A781" w14:textId="77777777" w:rsidR="00394E70" w:rsidRDefault="00394E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8827" w14:textId="77777777" w:rsidR="00394E70" w:rsidRDefault="00394E7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i/>
        <w:color w:val="000000"/>
      </w:rPr>
    </w:pPr>
  </w:p>
  <w:tbl>
    <w:tblPr>
      <w:tblStyle w:val="a0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8"/>
      <w:gridCol w:w="5046"/>
    </w:tblGrid>
    <w:tr w:rsidR="00394E70" w14:paraId="5DCDAEDF" w14:textId="77777777">
      <w:tc>
        <w:tcPr>
          <w:tcW w:w="4218" w:type="dxa"/>
          <w:shd w:val="clear" w:color="auto" w:fill="auto"/>
        </w:tcPr>
        <w:p w14:paraId="7AE42518" w14:textId="77777777" w:rsidR="00394E70" w:rsidRDefault="00D17C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omic Sans MS" w:eastAsia="Comic Sans MS" w:hAnsi="Comic Sans MS" w:cs="Comic Sans MS"/>
              <w:b/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 wp14:anchorId="0905ED23" wp14:editId="4367062C">
                <wp:extent cx="847725" cy="84772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l="-77" t="-77" r="-76" b="-7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477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6" w:type="dxa"/>
          <w:shd w:val="clear" w:color="auto" w:fill="auto"/>
        </w:tcPr>
        <w:p w14:paraId="1D6FFD43" w14:textId="77777777" w:rsidR="00394E70" w:rsidRDefault="00394E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b/>
              <w:color w:val="000000"/>
              <w:sz w:val="18"/>
              <w:szCs w:val="18"/>
            </w:rPr>
          </w:pPr>
        </w:p>
        <w:p w14:paraId="60BD6B63" w14:textId="62512EA7" w:rsidR="00394E70" w:rsidRDefault="00D17C6E" w:rsidP="00E242D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color w:val="000000"/>
              <w:sz w:val="16"/>
              <w:szCs w:val="16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36BA8F28" w14:textId="77777777" w:rsidR="00394E70" w:rsidRDefault="00394E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39164" w14:textId="77777777" w:rsidR="00394E70" w:rsidRDefault="00394E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ED7"/>
    <w:multiLevelType w:val="multilevel"/>
    <w:tmpl w:val="9DC4DE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D6039"/>
    <w:multiLevelType w:val="multilevel"/>
    <w:tmpl w:val="5D5AD8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1C6B55"/>
    <w:multiLevelType w:val="multilevel"/>
    <w:tmpl w:val="C5A61F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8612CA"/>
    <w:multiLevelType w:val="multilevel"/>
    <w:tmpl w:val="E260FABA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9A6472"/>
    <w:multiLevelType w:val="multilevel"/>
    <w:tmpl w:val="6A9C68E8"/>
    <w:lvl w:ilvl="0">
      <w:start w:val="1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color w:val="0000F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F04216C"/>
    <w:multiLevelType w:val="multilevel"/>
    <w:tmpl w:val="CDFCE80E"/>
    <w:lvl w:ilvl="0">
      <w:start w:val="1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color w:val="0000FF"/>
        <w:sz w:val="20"/>
        <w:szCs w:val="20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C5916DE"/>
    <w:multiLevelType w:val="multilevel"/>
    <w:tmpl w:val="F27E95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EF0584C"/>
    <w:multiLevelType w:val="multilevel"/>
    <w:tmpl w:val="68C6EE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F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44C1135"/>
    <w:multiLevelType w:val="multilevel"/>
    <w:tmpl w:val="9E1AB5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1496C"/>
    <w:multiLevelType w:val="multilevel"/>
    <w:tmpl w:val="00308210"/>
    <w:lvl w:ilvl="0">
      <w:start w:val="1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color w:val="0000F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BDD51D2"/>
    <w:multiLevelType w:val="multilevel"/>
    <w:tmpl w:val="435A2042"/>
    <w:lvl w:ilvl="0">
      <w:start w:val="1"/>
      <w:numFmt w:val="bullet"/>
      <w:lvlText w:val="-"/>
      <w:lvlJc w:val="left"/>
      <w:pPr>
        <w:ind w:left="1146" w:hanging="360"/>
      </w:pPr>
      <w:rPr>
        <w:rFonts w:ascii="Comic Sans MS" w:eastAsia="Comic Sans MS" w:hAnsi="Comic Sans MS" w:cs="Comic Sans MS"/>
        <w:color w:val="0000FF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57677A3"/>
    <w:multiLevelType w:val="multilevel"/>
    <w:tmpl w:val="E7D42B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BD8558E"/>
    <w:multiLevelType w:val="multilevel"/>
    <w:tmpl w:val="BD2AA3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E253F"/>
    <w:multiLevelType w:val="multilevel"/>
    <w:tmpl w:val="457C02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C773E6F"/>
    <w:multiLevelType w:val="multilevel"/>
    <w:tmpl w:val="EE04A4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9512C"/>
    <w:multiLevelType w:val="multilevel"/>
    <w:tmpl w:val="73167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75F30C6"/>
    <w:multiLevelType w:val="multilevel"/>
    <w:tmpl w:val="8EB05FD6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E8D0D75"/>
    <w:multiLevelType w:val="multilevel"/>
    <w:tmpl w:val="F23450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A05219D"/>
    <w:multiLevelType w:val="multilevel"/>
    <w:tmpl w:val="70FC17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CFA7014"/>
    <w:multiLevelType w:val="multilevel"/>
    <w:tmpl w:val="08C48D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D467023"/>
    <w:multiLevelType w:val="multilevel"/>
    <w:tmpl w:val="88303146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BAF3D9E"/>
    <w:multiLevelType w:val="multilevel"/>
    <w:tmpl w:val="33B653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2"/>
  </w:num>
  <w:num w:numId="5">
    <w:abstractNumId w:val="11"/>
  </w:num>
  <w:num w:numId="6">
    <w:abstractNumId w:val="6"/>
  </w:num>
  <w:num w:numId="7">
    <w:abstractNumId w:val="0"/>
  </w:num>
  <w:num w:numId="8">
    <w:abstractNumId w:val="14"/>
  </w:num>
  <w:num w:numId="9">
    <w:abstractNumId w:val="4"/>
  </w:num>
  <w:num w:numId="10">
    <w:abstractNumId w:val="21"/>
  </w:num>
  <w:num w:numId="11">
    <w:abstractNumId w:val="17"/>
  </w:num>
  <w:num w:numId="12">
    <w:abstractNumId w:val="15"/>
  </w:num>
  <w:num w:numId="13">
    <w:abstractNumId w:val="7"/>
  </w:num>
  <w:num w:numId="14">
    <w:abstractNumId w:val="5"/>
  </w:num>
  <w:num w:numId="15">
    <w:abstractNumId w:val="3"/>
  </w:num>
  <w:num w:numId="16">
    <w:abstractNumId w:val="10"/>
  </w:num>
  <w:num w:numId="17">
    <w:abstractNumId w:val="18"/>
  </w:num>
  <w:num w:numId="18">
    <w:abstractNumId w:val="20"/>
  </w:num>
  <w:num w:numId="19">
    <w:abstractNumId w:val="16"/>
  </w:num>
  <w:num w:numId="20">
    <w:abstractNumId w:val="2"/>
  </w:num>
  <w:num w:numId="21">
    <w:abstractNumId w:val="1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E70"/>
    <w:rsid w:val="001505DB"/>
    <w:rsid w:val="00237CCB"/>
    <w:rsid w:val="00245B71"/>
    <w:rsid w:val="00381914"/>
    <w:rsid w:val="00394E70"/>
    <w:rsid w:val="006E2408"/>
    <w:rsid w:val="007C2972"/>
    <w:rsid w:val="007E2383"/>
    <w:rsid w:val="008148B8"/>
    <w:rsid w:val="00944AAC"/>
    <w:rsid w:val="009B0141"/>
    <w:rsid w:val="00AB3D28"/>
    <w:rsid w:val="00AD639D"/>
    <w:rsid w:val="00AD7308"/>
    <w:rsid w:val="00B12963"/>
    <w:rsid w:val="00B7067F"/>
    <w:rsid w:val="00BE0320"/>
    <w:rsid w:val="00D102D5"/>
    <w:rsid w:val="00D17C6E"/>
    <w:rsid w:val="00E242D6"/>
    <w:rsid w:val="00F60F59"/>
    <w:rsid w:val="00FF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2A8F9"/>
  <w15:docId w15:val="{629CEF3A-7F08-4C15-AD32-9411F942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360"/>
      <w:ind w:left="567" w:hanging="567"/>
      <w:outlineLvl w:val="0"/>
    </w:pPr>
    <w:rPr>
      <w:b/>
      <w:smallCaps/>
      <w:u w:val="single"/>
    </w:rPr>
  </w:style>
  <w:style w:type="paragraph" w:styleId="Titre2">
    <w:name w:val="heading 2"/>
    <w:basedOn w:val="Normal"/>
    <w:next w:val="Normal"/>
    <w:pPr>
      <w:keepNext/>
      <w:keepLines/>
      <w:spacing w:before="360" w:after="240"/>
      <w:ind w:left="709" w:hanging="709"/>
      <w:outlineLvl w:val="1"/>
    </w:pPr>
    <w:rPr>
      <w:rFonts w:ascii="Arial Gras" w:eastAsia="Arial Gras" w:hAnsi="Arial Gras" w:cs="Arial Gras"/>
      <w:b/>
      <w:u w:val="single"/>
    </w:rPr>
  </w:style>
  <w:style w:type="paragraph" w:styleId="Titre3">
    <w:name w:val="heading 3"/>
    <w:basedOn w:val="Normal"/>
    <w:next w:val="Normal"/>
    <w:pPr>
      <w:keepNext/>
      <w:keepLines/>
      <w:spacing w:before="360" w:after="240"/>
      <w:ind w:left="851" w:hanging="851"/>
      <w:outlineLvl w:val="2"/>
    </w:pPr>
    <w:rPr>
      <w:b/>
      <w:u w:val="single"/>
    </w:rPr>
  </w:style>
  <w:style w:type="paragraph" w:styleId="Titre4">
    <w:name w:val="heading 4"/>
    <w:basedOn w:val="Normal"/>
    <w:next w:val="Normal"/>
    <w:pPr>
      <w:keepNext/>
      <w:keepLines/>
      <w:spacing w:before="360" w:after="240"/>
      <w:ind w:left="851" w:hanging="851"/>
      <w:outlineLvl w:val="3"/>
    </w:pPr>
    <w:rPr>
      <w:b/>
      <w:u w:val="single"/>
    </w:rPr>
  </w:style>
  <w:style w:type="paragraph" w:styleId="Titre5">
    <w:name w:val="heading 5"/>
    <w:basedOn w:val="Normal"/>
    <w:next w:val="Normal"/>
    <w:p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pPr>
      <w:spacing w:before="240" w:after="60"/>
      <w:outlineLvl w:val="5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spacing w:before="240" w:after="120"/>
    </w:pPr>
    <w:rPr>
      <w:rFonts w:ascii="Century Gothic" w:eastAsia="Century Gothic" w:hAnsi="Century Gothic" w:cs="Century Gothic"/>
      <w:sz w:val="28"/>
      <w:szCs w:val="28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48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530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ENGELS BRUNO</dc:creator>
  <cp:lastModifiedBy>Laurent MARCOUX</cp:lastModifiedBy>
  <cp:revision>19</cp:revision>
  <dcterms:created xsi:type="dcterms:W3CDTF">2021-07-21T17:21:00Z</dcterms:created>
  <dcterms:modified xsi:type="dcterms:W3CDTF">2021-11-24T10:41:00Z</dcterms:modified>
</cp:coreProperties>
</file>